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33B" w:rsidRDefault="003961DA" w:rsidP="00625C24">
      <w:pPr>
        <w:ind w:left="-630"/>
      </w:pPr>
      <w:r>
        <w:rPr>
          <w:noProof/>
        </w:rPr>
        <w:drawing>
          <wp:inline distT="0" distB="0" distL="0" distR="0">
            <wp:extent cx="12601575" cy="6715125"/>
            <wp:effectExtent l="19050" t="0" r="9525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E3733B" w:rsidSect="00227E0A">
      <w:pgSz w:w="20160" w:h="12240" w:orient="landscape" w:code="5"/>
      <w:pgMar w:top="446" w:right="360" w:bottom="288" w:left="90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961DA"/>
    <w:rsid w:val="000F6CC1"/>
    <w:rsid w:val="00172C8F"/>
    <w:rsid w:val="00227E0A"/>
    <w:rsid w:val="003961DA"/>
    <w:rsid w:val="00396262"/>
    <w:rsid w:val="00625C24"/>
    <w:rsid w:val="006C7121"/>
    <w:rsid w:val="00A56F6B"/>
    <w:rsid w:val="00B77949"/>
    <w:rsid w:val="00C375A7"/>
    <w:rsid w:val="00DB4F7F"/>
    <w:rsid w:val="00DC2951"/>
    <w:rsid w:val="00E373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3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61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61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/>
              <a:t>Keratoplasty Data, 2001-2025</a:t>
            </a:r>
          </a:p>
        </c:rich>
      </c:tx>
      <c:overlay val="1"/>
    </c:title>
    <c:plotArea>
      <c:layout>
        <c:manualLayout>
          <c:layoutTarget val="inner"/>
          <c:xMode val="edge"/>
          <c:yMode val="edge"/>
          <c:x val="3.0446273044698241E-2"/>
          <c:y val="2.5133038336252109E-2"/>
          <c:w val="0.85088553120049193"/>
          <c:h val="0.90133925109955482"/>
        </c:manualLayout>
      </c:layout>
      <c:barChart>
        <c:barDir val="col"/>
        <c:grouping val="clustered"/>
        <c:ser>
          <c:idx val="0"/>
          <c:order val="0"/>
          <c:tx>
            <c:strRef>
              <c:f>Sheet1!$B$1</c:f>
              <c:strCache>
                <c:ptCount val="1"/>
                <c:pt idx="0">
                  <c:v>Optical</c:v>
                </c:pt>
              </c:strCache>
            </c:strRef>
          </c:tx>
          <c:dLbls>
            <c:txPr>
              <a:bodyPr/>
              <a:lstStyle/>
              <a:p>
                <a:pPr>
                  <a:defRPr b="1"/>
                </a:pPr>
                <a:endParaRPr lang="en-US"/>
              </a:p>
            </c:txPr>
            <c:dLblPos val="outEnd"/>
            <c:showVal val="1"/>
          </c:dLbls>
          <c:cat>
            <c:numRef>
              <c:f>Sheet1!$A$2:$A$26</c:f>
              <c:numCache>
                <c:formatCode>General</c:formatCode>
                <c:ptCount val="25"/>
                <c:pt idx="0">
                  <c:v>2001</c:v>
                </c:pt>
                <c:pt idx="1">
                  <c:v>2002</c:v>
                </c:pt>
                <c:pt idx="2">
                  <c:v>2003</c:v>
                </c:pt>
                <c:pt idx="3">
                  <c:v>2004</c:v>
                </c:pt>
                <c:pt idx="4">
                  <c:v>2005</c:v>
                </c:pt>
                <c:pt idx="5">
                  <c:v>2006</c:v>
                </c:pt>
                <c:pt idx="6">
                  <c:v>2007</c:v>
                </c:pt>
                <c:pt idx="7">
                  <c:v>2008</c:v>
                </c:pt>
                <c:pt idx="8">
                  <c:v>2009</c:v>
                </c:pt>
                <c:pt idx="9">
                  <c:v>2010</c:v>
                </c:pt>
                <c:pt idx="10">
                  <c:v>2011</c:v>
                </c:pt>
                <c:pt idx="11">
                  <c:v>2012</c:v>
                </c:pt>
                <c:pt idx="12">
                  <c:v>2013</c:v>
                </c:pt>
                <c:pt idx="13">
                  <c:v>2014</c:v>
                </c:pt>
                <c:pt idx="14">
                  <c:v>2015</c:v>
                </c:pt>
                <c:pt idx="15">
                  <c:v>2016</c:v>
                </c:pt>
                <c:pt idx="16">
                  <c:v>2017</c:v>
                </c:pt>
                <c:pt idx="17">
                  <c:v>2018</c:v>
                </c:pt>
                <c:pt idx="18">
                  <c:v>2019</c:v>
                </c:pt>
                <c:pt idx="19">
                  <c:v>2020</c:v>
                </c:pt>
                <c:pt idx="20">
                  <c:v>2021</c:v>
                </c:pt>
                <c:pt idx="21">
                  <c:v>2022</c:v>
                </c:pt>
                <c:pt idx="22">
                  <c:v>2023</c:v>
                </c:pt>
                <c:pt idx="23">
                  <c:v>2024</c:v>
                </c:pt>
                <c:pt idx="24">
                  <c:v>2025</c:v>
                </c:pt>
              </c:numCache>
            </c:numRef>
          </c:cat>
          <c:val>
            <c:numRef>
              <c:f>Sheet1!$B$2:$B$26</c:f>
              <c:numCache>
                <c:formatCode>General</c:formatCode>
                <c:ptCount val="25"/>
                <c:pt idx="0">
                  <c:v>6</c:v>
                </c:pt>
                <c:pt idx="1">
                  <c:v>8</c:v>
                </c:pt>
                <c:pt idx="2">
                  <c:v>18</c:v>
                </c:pt>
                <c:pt idx="3">
                  <c:v>12</c:v>
                </c:pt>
                <c:pt idx="4">
                  <c:v>17</c:v>
                </c:pt>
                <c:pt idx="5">
                  <c:v>28</c:v>
                </c:pt>
                <c:pt idx="6">
                  <c:v>12</c:v>
                </c:pt>
                <c:pt idx="7">
                  <c:v>25</c:v>
                </c:pt>
                <c:pt idx="8">
                  <c:v>43</c:v>
                </c:pt>
                <c:pt idx="9">
                  <c:v>76</c:v>
                </c:pt>
                <c:pt idx="10">
                  <c:v>40</c:v>
                </c:pt>
                <c:pt idx="11">
                  <c:v>33</c:v>
                </c:pt>
                <c:pt idx="12">
                  <c:v>59</c:v>
                </c:pt>
                <c:pt idx="13">
                  <c:v>62</c:v>
                </c:pt>
                <c:pt idx="14">
                  <c:v>52</c:v>
                </c:pt>
                <c:pt idx="15">
                  <c:v>58</c:v>
                </c:pt>
                <c:pt idx="16">
                  <c:v>69</c:v>
                </c:pt>
                <c:pt idx="17">
                  <c:v>81</c:v>
                </c:pt>
                <c:pt idx="18">
                  <c:v>65</c:v>
                </c:pt>
                <c:pt idx="19">
                  <c:v>16</c:v>
                </c:pt>
                <c:pt idx="20">
                  <c:v>0</c:v>
                </c:pt>
                <c:pt idx="21">
                  <c:v>7</c:v>
                </c:pt>
                <c:pt idx="22">
                  <c:v>14</c:v>
                </c:pt>
                <c:pt idx="23">
                  <c:v>16</c:v>
                </c:pt>
                <c:pt idx="24">
                  <c:v>11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Therapeutic</c:v>
                </c:pt>
              </c:strCache>
            </c:strRef>
          </c:tx>
          <c:dLbls>
            <c:dLbl>
              <c:idx val="11"/>
              <c:layout>
                <c:manualLayout>
                  <c:x val="7.0070070070070078E-3"/>
                  <c:y val="-4.5274476513865311E-3"/>
                </c:manualLayout>
              </c:layout>
              <c:dLblPos val="outEnd"/>
              <c:showVal val="1"/>
            </c:dLbl>
            <c:txPr>
              <a:bodyPr/>
              <a:lstStyle/>
              <a:p>
                <a:pPr>
                  <a:defRPr b="1"/>
                </a:pPr>
                <a:endParaRPr lang="en-US"/>
              </a:p>
            </c:txPr>
            <c:dLblPos val="outEnd"/>
            <c:showVal val="1"/>
          </c:dLbls>
          <c:cat>
            <c:numRef>
              <c:f>Sheet1!$A$2:$A$26</c:f>
              <c:numCache>
                <c:formatCode>General</c:formatCode>
                <c:ptCount val="25"/>
                <c:pt idx="0">
                  <c:v>2001</c:v>
                </c:pt>
                <c:pt idx="1">
                  <c:v>2002</c:v>
                </c:pt>
                <c:pt idx="2">
                  <c:v>2003</c:v>
                </c:pt>
                <c:pt idx="3">
                  <c:v>2004</c:v>
                </c:pt>
                <c:pt idx="4">
                  <c:v>2005</c:v>
                </c:pt>
                <c:pt idx="5">
                  <c:v>2006</c:v>
                </c:pt>
                <c:pt idx="6">
                  <c:v>2007</c:v>
                </c:pt>
                <c:pt idx="7">
                  <c:v>2008</c:v>
                </c:pt>
                <c:pt idx="8">
                  <c:v>2009</c:v>
                </c:pt>
                <c:pt idx="9">
                  <c:v>2010</c:v>
                </c:pt>
                <c:pt idx="10">
                  <c:v>2011</c:v>
                </c:pt>
                <c:pt idx="11">
                  <c:v>2012</c:v>
                </c:pt>
                <c:pt idx="12">
                  <c:v>2013</c:v>
                </c:pt>
                <c:pt idx="13">
                  <c:v>2014</c:v>
                </c:pt>
                <c:pt idx="14">
                  <c:v>2015</c:v>
                </c:pt>
                <c:pt idx="15">
                  <c:v>2016</c:v>
                </c:pt>
                <c:pt idx="16">
                  <c:v>2017</c:v>
                </c:pt>
                <c:pt idx="17">
                  <c:v>2018</c:v>
                </c:pt>
                <c:pt idx="18">
                  <c:v>2019</c:v>
                </c:pt>
                <c:pt idx="19">
                  <c:v>2020</c:v>
                </c:pt>
                <c:pt idx="20">
                  <c:v>2021</c:v>
                </c:pt>
                <c:pt idx="21">
                  <c:v>2022</c:v>
                </c:pt>
                <c:pt idx="22">
                  <c:v>2023</c:v>
                </c:pt>
                <c:pt idx="23">
                  <c:v>2024</c:v>
                </c:pt>
                <c:pt idx="24">
                  <c:v>2025</c:v>
                </c:pt>
              </c:numCache>
            </c:numRef>
          </c:cat>
          <c:val>
            <c:numRef>
              <c:f>Sheet1!$C$2:$C$26</c:f>
              <c:numCache>
                <c:formatCode>General</c:formatCode>
                <c:ptCount val="25"/>
                <c:pt idx="0">
                  <c:v>3</c:v>
                </c:pt>
                <c:pt idx="1">
                  <c:v>3</c:v>
                </c:pt>
                <c:pt idx="2">
                  <c:v>12</c:v>
                </c:pt>
                <c:pt idx="3">
                  <c:v>28</c:v>
                </c:pt>
                <c:pt idx="4">
                  <c:v>21</c:v>
                </c:pt>
                <c:pt idx="5">
                  <c:v>17</c:v>
                </c:pt>
                <c:pt idx="6">
                  <c:v>19</c:v>
                </c:pt>
                <c:pt idx="7">
                  <c:v>33</c:v>
                </c:pt>
                <c:pt idx="8">
                  <c:v>27</c:v>
                </c:pt>
                <c:pt idx="9">
                  <c:v>65</c:v>
                </c:pt>
                <c:pt idx="10">
                  <c:v>51</c:v>
                </c:pt>
                <c:pt idx="11">
                  <c:v>33</c:v>
                </c:pt>
                <c:pt idx="12">
                  <c:v>37</c:v>
                </c:pt>
                <c:pt idx="13">
                  <c:v>39</c:v>
                </c:pt>
                <c:pt idx="14">
                  <c:v>39</c:v>
                </c:pt>
                <c:pt idx="15">
                  <c:v>41</c:v>
                </c:pt>
                <c:pt idx="16">
                  <c:v>34</c:v>
                </c:pt>
                <c:pt idx="17">
                  <c:v>34</c:v>
                </c:pt>
                <c:pt idx="18">
                  <c:v>32</c:v>
                </c:pt>
                <c:pt idx="19">
                  <c:v>4</c:v>
                </c:pt>
                <c:pt idx="20">
                  <c:v>1</c:v>
                </c:pt>
                <c:pt idx="21">
                  <c:v>14</c:v>
                </c:pt>
                <c:pt idx="22">
                  <c:v>20</c:v>
                </c:pt>
                <c:pt idx="23">
                  <c:v>24</c:v>
                </c:pt>
                <c:pt idx="24">
                  <c:v>19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Lamellar</c:v>
                </c:pt>
              </c:strCache>
            </c:strRef>
          </c:tx>
          <c:dLbls>
            <c:txPr>
              <a:bodyPr/>
              <a:lstStyle/>
              <a:p>
                <a:pPr>
                  <a:defRPr b="1"/>
                </a:pPr>
                <a:endParaRPr lang="en-US"/>
              </a:p>
            </c:txPr>
            <c:dLblPos val="outEnd"/>
            <c:showVal val="1"/>
          </c:dLbls>
          <c:cat>
            <c:numRef>
              <c:f>Sheet1!$A$2:$A$26</c:f>
              <c:numCache>
                <c:formatCode>General</c:formatCode>
                <c:ptCount val="25"/>
                <c:pt idx="0">
                  <c:v>2001</c:v>
                </c:pt>
                <c:pt idx="1">
                  <c:v>2002</c:v>
                </c:pt>
                <c:pt idx="2">
                  <c:v>2003</c:v>
                </c:pt>
                <c:pt idx="3">
                  <c:v>2004</c:v>
                </c:pt>
                <c:pt idx="4">
                  <c:v>2005</c:v>
                </c:pt>
                <c:pt idx="5">
                  <c:v>2006</c:v>
                </c:pt>
                <c:pt idx="6">
                  <c:v>2007</c:v>
                </c:pt>
                <c:pt idx="7">
                  <c:v>2008</c:v>
                </c:pt>
                <c:pt idx="8">
                  <c:v>2009</c:v>
                </c:pt>
                <c:pt idx="9">
                  <c:v>2010</c:v>
                </c:pt>
                <c:pt idx="10">
                  <c:v>2011</c:v>
                </c:pt>
                <c:pt idx="11">
                  <c:v>2012</c:v>
                </c:pt>
                <c:pt idx="12">
                  <c:v>2013</c:v>
                </c:pt>
                <c:pt idx="13">
                  <c:v>2014</c:v>
                </c:pt>
                <c:pt idx="14">
                  <c:v>2015</c:v>
                </c:pt>
                <c:pt idx="15">
                  <c:v>2016</c:v>
                </c:pt>
                <c:pt idx="16">
                  <c:v>2017</c:v>
                </c:pt>
                <c:pt idx="17">
                  <c:v>2018</c:v>
                </c:pt>
                <c:pt idx="18">
                  <c:v>2019</c:v>
                </c:pt>
                <c:pt idx="19">
                  <c:v>2020</c:v>
                </c:pt>
                <c:pt idx="20">
                  <c:v>2021</c:v>
                </c:pt>
                <c:pt idx="21">
                  <c:v>2022</c:v>
                </c:pt>
                <c:pt idx="22">
                  <c:v>2023</c:v>
                </c:pt>
                <c:pt idx="23">
                  <c:v>2024</c:v>
                </c:pt>
                <c:pt idx="24">
                  <c:v>2025</c:v>
                </c:pt>
              </c:numCache>
            </c:numRef>
          </c:cat>
          <c:val>
            <c:numRef>
              <c:f>Sheet1!$D$2:$D$26</c:f>
              <c:numCache>
                <c:formatCode>General</c:formatCode>
                <c:ptCount val="25"/>
                <c:pt idx="0">
                  <c:v>0</c:v>
                </c:pt>
                <c:pt idx="1">
                  <c:v>1</c:v>
                </c:pt>
                <c:pt idx="2">
                  <c:v>0</c:v>
                </c:pt>
                <c:pt idx="3">
                  <c:v>1</c:v>
                </c:pt>
                <c:pt idx="4">
                  <c:v>1</c:v>
                </c:pt>
                <c:pt idx="5">
                  <c:v>3</c:v>
                </c:pt>
                <c:pt idx="6">
                  <c:v>0</c:v>
                </c:pt>
                <c:pt idx="7">
                  <c:v>0</c:v>
                </c:pt>
                <c:pt idx="8">
                  <c:v>2</c:v>
                </c:pt>
                <c:pt idx="9">
                  <c:v>3</c:v>
                </c:pt>
                <c:pt idx="10">
                  <c:v>4</c:v>
                </c:pt>
                <c:pt idx="11">
                  <c:v>8</c:v>
                </c:pt>
                <c:pt idx="12">
                  <c:v>4</c:v>
                </c:pt>
                <c:pt idx="13">
                  <c:v>3</c:v>
                </c:pt>
                <c:pt idx="14">
                  <c:v>4</c:v>
                </c:pt>
                <c:pt idx="15">
                  <c:v>3</c:v>
                </c:pt>
                <c:pt idx="16">
                  <c:v>4</c:v>
                </c:pt>
                <c:pt idx="17">
                  <c:v>10</c:v>
                </c:pt>
                <c:pt idx="18">
                  <c:v>6</c:v>
                </c:pt>
                <c:pt idx="19">
                  <c:v>0</c:v>
                </c:pt>
                <c:pt idx="20">
                  <c:v>2</c:v>
                </c:pt>
                <c:pt idx="21">
                  <c:v>3</c:v>
                </c:pt>
                <c:pt idx="22">
                  <c:v>4</c:v>
                </c:pt>
                <c:pt idx="23">
                  <c:v>10</c:v>
                </c:pt>
                <c:pt idx="24">
                  <c:v>16</c:v>
                </c:pt>
              </c:numCache>
            </c:numRef>
          </c:val>
        </c:ser>
        <c:dLbls>
          <c:showVal val="1"/>
        </c:dLbls>
        <c:axId val="95548544"/>
        <c:axId val="95550080"/>
      </c:barChart>
      <c:catAx>
        <c:axId val="95548544"/>
        <c:scaling>
          <c:orientation val="minMax"/>
        </c:scaling>
        <c:axPos val="b"/>
        <c:numFmt formatCode="General" sourceLinked="1"/>
        <c:tickLblPos val="nextTo"/>
        <c:txPr>
          <a:bodyPr/>
          <a:lstStyle/>
          <a:p>
            <a:pPr>
              <a:defRPr b="1"/>
            </a:pPr>
            <a:endParaRPr lang="en-US"/>
          </a:p>
        </c:txPr>
        <c:crossAx val="95550080"/>
        <c:crosses val="autoZero"/>
        <c:auto val="1"/>
        <c:lblAlgn val="ctr"/>
        <c:lblOffset val="100"/>
      </c:catAx>
      <c:valAx>
        <c:axId val="95550080"/>
        <c:scaling>
          <c:orientation val="minMax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b="1"/>
            </a:pPr>
            <a:endParaRPr lang="en-US"/>
          </a:p>
        </c:txPr>
        <c:crossAx val="95548544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89334381625720205"/>
          <c:y val="0.43859791719583446"/>
          <c:w val="8.1631158717772906E-2"/>
          <c:h val="0.12280416560833121"/>
        </c:manualLayout>
      </c:layout>
      <c:txPr>
        <a:bodyPr/>
        <a:lstStyle/>
        <a:p>
          <a:pPr>
            <a:defRPr b="1"/>
          </a:pPr>
          <a:endParaRPr lang="en-US"/>
        </a:p>
      </c:txPr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21</cp:revision>
  <cp:lastPrinted>2026-02-25T07:11:00Z</cp:lastPrinted>
  <dcterms:created xsi:type="dcterms:W3CDTF">2026-02-25T06:10:00Z</dcterms:created>
  <dcterms:modified xsi:type="dcterms:W3CDTF">2026-02-25T07:35:00Z</dcterms:modified>
</cp:coreProperties>
</file>